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8BBDE">
      <w:pPr>
        <w:pStyle w:val="8"/>
        <w:widowControl w:val="0"/>
        <w:autoSpaceDE w:val="0"/>
        <w:autoSpaceDN w:val="0"/>
        <w:adjustRightInd w:val="0"/>
        <w:spacing w:before="0" w:after="0" w:line="360" w:lineRule="auto"/>
        <w:ind w:firstLine="602"/>
        <w:jc w:val="center"/>
        <w:rPr>
          <w:rFonts w:ascii="WJBUWB+CIDFont+F1" w:hAnsi="WJBUWB+CIDFont+F1" w:cs="WJBUWB+CIDFont+F1"/>
          <w:b/>
          <w:color w:val="000000"/>
          <w:sz w:val="30"/>
          <w:lang w:eastAsia="zh-CN"/>
        </w:rPr>
      </w:pPr>
      <w:r>
        <w:rPr>
          <w:rFonts w:ascii="WJBUWB+CIDFont+F1" w:hAnsi="WJBUWB+CIDFont+F1" w:cs="WJBUWB+CIDFont+F1"/>
          <w:b/>
          <w:color w:val="000000"/>
          <w:sz w:val="30"/>
          <w:lang w:eastAsia="zh-CN"/>
        </w:rPr>
        <w:t>附件</w:t>
      </w:r>
      <w:r>
        <w:rPr>
          <w:rFonts w:cs="WJBUWB+CIDFont+F1" w:asciiTheme="minorHAnsi" w:hAnsiTheme="minorHAnsi"/>
          <w:b/>
          <w:color w:val="000000"/>
          <w:sz w:val="30"/>
          <w:lang w:eastAsia="zh-CN"/>
        </w:rPr>
        <w:t xml:space="preserve">1 </w:t>
      </w:r>
      <w:r>
        <w:rPr>
          <w:rFonts w:ascii="WJBUWB+CIDFont+F1" w:hAnsi="WJBUWB+CIDFont+F1" w:cs="WJBUWB+CIDFont+F1"/>
          <w:b/>
          <w:color w:val="000000"/>
          <w:sz w:val="30"/>
          <w:lang w:eastAsia="zh-CN"/>
        </w:rPr>
        <w:t>教学型案例基本结构及相关要求</w:t>
      </w:r>
    </w:p>
    <w:p w14:paraId="4D2C6038">
      <w:pPr>
        <w:pStyle w:val="8"/>
        <w:keepNext w:val="0"/>
        <w:keepLines w:val="0"/>
        <w:pageBreakBefore w:val="0"/>
        <w:widowControl w:val="0"/>
        <w:numPr>
          <w:numId w:val="0"/>
        </w:numPr>
        <w:kinsoku/>
        <w:wordWrap/>
        <w:overflowPunct/>
        <w:topLinePunct w:val="0"/>
        <w:autoSpaceDE w:val="0"/>
        <w:autoSpaceDN w:val="0"/>
        <w:bidi w:val="0"/>
        <w:adjustRightInd w:val="0"/>
        <w:snapToGrid/>
        <w:spacing w:before="0" w:after="0" w:line="360" w:lineRule="auto"/>
        <w:jc w:val="left"/>
        <w:textAlignment w:val="auto"/>
        <w:rPr>
          <w:rFonts w:hint="eastAsia" w:ascii="黑体" w:hAnsi="黑体" w:eastAsia="黑体" w:cs="黑体"/>
          <w:color w:val="000000"/>
          <w:sz w:val="32"/>
          <w:szCs w:val="32"/>
          <w:lang w:eastAsia="zh-CN"/>
        </w:rPr>
      </w:pPr>
    </w:p>
    <w:p w14:paraId="38982F57">
      <w:pPr>
        <w:pStyle w:val="8"/>
        <w:keepNext w:val="0"/>
        <w:keepLines w:val="0"/>
        <w:pageBreakBefore w:val="0"/>
        <w:widowControl w:val="0"/>
        <w:numPr>
          <w:numId w:val="0"/>
        </w:numPr>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黑体" w:hAnsi="黑体" w:eastAsia="黑体" w:cs="黑体"/>
          <w:b w:val="0"/>
          <w:bCs/>
          <w:color w:val="000000"/>
          <w:sz w:val="30"/>
          <w:szCs w:val="30"/>
          <w:lang w:eastAsia="zh-CN"/>
        </w:rPr>
      </w:pPr>
      <w:r>
        <w:rPr>
          <w:rFonts w:hint="eastAsia" w:ascii="黑体" w:hAnsi="黑体" w:eastAsia="黑体" w:cs="黑体"/>
          <w:b w:val="0"/>
          <w:bCs/>
          <w:color w:val="000000"/>
          <w:sz w:val="30"/>
          <w:szCs w:val="30"/>
          <w:lang w:val="en-US" w:eastAsia="zh-CN"/>
        </w:rPr>
        <w:t>一、</w:t>
      </w:r>
      <w:r>
        <w:rPr>
          <w:rFonts w:hint="eastAsia" w:ascii="黑体" w:hAnsi="黑体" w:eastAsia="黑体" w:cs="黑体"/>
          <w:b w:val="0"/>
          <w:bCs/>
          <w:color w:val="000000"/>
          <w:sz w:val="30"/>
          <w:szCs w:val="30"/>
          <w:lang w:eastAsia="zh-CN"/>
        </w:rPr>
        <w:t>正文查重率</w:t>
      </w:r>
    </w:p>
    <w:p w14:paraId="0934669D">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1.收稿规则：查重率低于20%；</w:t>
      </w:r>
    </w:p>
    <w:p w14:paraId="696206FA">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2.退稿规则：查重率超过30%；</w:t>
      </w:r>
    </w:p>
    <w:p w14:paraId="26FB1C9C">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3.建议作者使用Paperpass或知网社科期刊学术不端文献检测系统对正文进行查重，查重报告和案例投稿一起提交；</w:t>
      </w:r>
    </w:p>
    <w:p w14:paraId="561F787C">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color w:val="000000"/>
          <w:sz w:val="30"/>
          <w:szCs w:val="30"/>
          <w:lang w:eastAsia="zh-CN"/>
        </w:rPr>
        <w:t>4.管理员使用“知网社科期刊学术不端文献检测系统”对报告做审核。</w:t>
      </w:r>
    </w:p>
    <w:p w14:paraId="1B492E49">
      <w:pPr>
        <w:pStyle w:val="8"/>
        <w:keepNext w:val="0"/>
        <w:keepLines w:val="0"/>
        <w:pageBreakBefore w:val="0"/>
        <w:widowControl w:val="0"/>
        <w:numPr>
          <w:numId w:val="0"/>
        </w:numPr>
        <w:kinsoku/>
        <w:wordWrap/>
        <w:overflowPunct/>
        <w:topLinePunct w:val="0"/>
        <w:autoSpaceDE w:val="0"/>
        <w:autoSpaceDN w:val="0"/>
        <w:bidi w:val="0"/>
        <w:adjustRightInd w:val="0"/>
        <w:snapToGrid/>
        <w:spacing w:before="0" w:after="0"/>
        <w:ind w:firstLine="600" w:firstLineChars="200"/>
        <w:jc w:val="left"/>
        <w:textAlignment w:val="auto"/>
        <w:rPr>
          <w:rFonts w:hint="eastAsia" w:ascii="黑体" w:hAnsi="黑体" w:eastAsia="黑体" w:cs="黑体"/>
          <w:b w:val="0"/>
          <w:bCs/>
          <w:color w:val="000000"/>
          <w:sz w:val="30"/>
          <w:szCs w:val="30"/>
          <w:lang w:eastAsia="zh-CN"/>
        </w:rPr>
      </w:pPr>
      <w:r>
        <w:rPr>
          <w:rFonts w:hint="eastAsia" w:ascii="黑体" w:hAnsi="黑体" w:eastAsia="黑体" w:cs="黑体"/>
          <w:b w:val="0"/>
          <w:bCs/>
          <w:color w:val="000000"/>
          <w:sz w:val="30"/>
          <w:szCs w:val="30"/>
          <w:lang w:val="en-US" w:eastAsia="zh-CN"/>
        </w:rPr>
        <w:t>二、</w:t>
      </w:r>
      <w:r>
        <w:rPr>
          <w:rFonts w:hint="eastAsia" w:ascii="黑体" w:hAnsi="黑体" w:eastAsia="黑体" w:cs="黑体"/>
          <w:b w:val="0"/>
          <w:bCs/>
          <w:color w:val="000000"/>
          <w:sz w:val="30"/>
          <w:szCs w:val="30"/>
          <w:lang w:eastAsia="zh-CN"/>
        </w:rPr>
        <w:t>案例正文的基本结构及相关要求</w:t>
      </w:r>
    </w:p>
    <w:p w14:paraId="3DA91F03">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一篇完整的教学案例至少包括案例正文和教学笔记两个部分。必要的补充材料可作为该案例的辅助材料。原则上，中文案例正文字数不超过 10,000 字，案例正文长度不超过 12 页（含附录）。小四号宋体，单倍行距。</w:t>
      </w:r>
    </w:p>
    <w:p w14:paraId="2D8E7DBA">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1.案例名称：以不带暗示性的中性标题为宜；</w:t>
      </w:r>
    </w:p>
    <w:p w14:paraId="6EA3DA9B">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要求：提供企业真实名称，如需隐去，另附说明。选题要有一定的典型性和代表性，能够反映某地区、某行业或更大范围的经营管理问题。</w:t>
      </w:r>
    </w:p>
    <w:p w14:paraId="6B0A22F9">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2.首页注释：作者、工作单位、案例真实性等；</w:t>
      </w:r>
    </w:p>
    <w:p w14:paraId="702B88E5">
      <w:pPr>
        <w:pStyle w:val="9"/>
        <w:keepNext w:val="0"/>
        <w:keepLines w:val="0"/>
        <w:pageBreakBefore w:val="0"/>
        <w:widowControl/>
        <w:kinsoku/>
        <w:wordWrap/>
        <w:overflowPunct/>
        <w:topLinePunct w:val="0"/>
        <w:autoSpaceDE/>
        <w:autoSpaceDN/>
        <w:bidi w:val="0"/>
        <w:adjustRightInd w:val="0"/>
        <w:snapToGrid w:val="0"/>
        <w:spacing w:line="360" w:lineRule="auto"/>
        <w:ind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版权说明，注明案例只用于教学目的，不对企业的经营管理做出任何评判。例：</w:t>
      </w:r>
    </w:p>
    <w:p w14:paraId="701318B3">
      <w:pPr>
        <w:pStyle w:val="9"/>
        <w:keepNext w:val="0"/>
        <w:keepLines w:val="0"/>
        <w:pageBreakBefore w:val="0"/>
        <w:kinsoku/>
        <w:wordWrap/>
        <w:overflowPunct/>
        <w:topLinePunct w:val="0"/>
        <w:bidi w:val="0"/>
        <w:adjustRightInd w:val="0"/>
        <w:snapToGrid w:val="0"/>
        <w:ind w:left="420"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①本案例由**大学**学院的**撰写，作者拥有著作权中的署名权、修改权、改编权。</w:t>
      </w:r>
    </w:p>
    <w:p w14:paraId="22FEDB3C">
      <w:pPr>
        <w:pStyle w:val="9"/>
        <w:keepNext w:val="0"/>
        <w:keepLines w:val="0"/>
        <w:pageBreakBefore w:val="0"/>
        <w:kinsoku/>
        <w:wordWrap/>
        <w:overflowPunct/>
        <w:topLinePunct w:val="0"/>
        <w:bidi w:val="0"/>
        <w:adjustRightInd w:val="0"/>
        <w:snapToGrid w:val="0"/>
        <w:ind w:left="420"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②本案例授权陈瑞球亚太案例开发与研究中心使用，陈瑞球亚太案例开发与研究中心享有复制权、修改权、发表权、发行权、信息网络传播权、改编权、汇编权和翻译权。</w:t>
      </w:r>
    </w:p>
    <w:p w14:paraId="144EA036">
      <w:pPr>
        <w:pStyle w:val="9"/>
        <w:keepNext w:val="0"/>
        <w:keepLines w:val="0"/>
        <w:pageBreakBefore w:val="0"/>
        <w:kinsoku/>
        <w:wordWrap/>
        <w:overflowPunct/>
        <w:topLinePunct w:val="0"/>
        <w:bidi w:val="0"/>
        <w:adjustRightInd w:val="0"/>
        <w:snapToGrid w:val="0"/>
        <w:ind w:left="420"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③由于企业保密的要求，在本案例中对有关名称、数据等做了必要的掩饰性处理。</w:t>
      </w:r>
    </w:p>
    <w:p w14:paraId="7341D6F5">
      <w:pPr>
        <w:pStyle w:val="9"/>
        <w:keepNext w:val="0"/>
        <w:keepLines w:val="0"/>
        <w:pageBreakBefore w:val="0"/>
        <w:kinsoku/>
        <w:wordWrap/>
        <w:overflowPunct/>
        <w:topLinePunct w:val="0"/>
        <w:bidi w:val="0"/>
        <w:adjustRightInd w:val="0"/>
        <w:snapToGrid w:val="0"/>
        <w:ind w:left="420"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④本案例只供课堂讨论之用，并无意暗示或说明某种管理行为是否有效。</w:t>
      </w:r>
    </w:p>
    <w:p w14:paraId="3D89F355">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3.内容提要及关键词；</w:t>
      </w:r>
    </w:p>
    <w:p w14:paraId="292274BB">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0"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color w:val="000000"/>
          <w:sz w:val="30"/>
          <w:szCs w:val="30"/>
          <w:lang w:eastAsia="zh-CN"/>
        </w:rPr>
        <w:t>要求：内容提要总结案例内容，不作评论分析，300字以内；关键词3－5个。</w:t>
      </w:r>
    </w:p>
    <w:p w14:paraId="54D41AB9">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4.引言/开头—开门见山/点题；</w:t>
      </w:r>
    </w:p>
    <w:p w14:paraId="3FE9E7F5">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要求：点明时间、地点、决策者、关键问题等信息，尽量简练。</w:t>
      </w:r>
    </w:p>
    <w:p w14:paraId="780D5CFF">
      <w:pPr>
        <w:pStyle w:val="8"/>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5.相关背景介绍；</w:t>
      </w:r>
    </w:p>
    <w:p w14:paraId="0AF33ECD">
      <w:pPr>
        <w:pStyle w:val="11"/>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要求：行业背景、公司历史沿革、财务状况、主要人物、事件等相关背景，内容翔实充实，能有效辅助案例课堂讨论分析。</w:t>
      </w:r>
    </w:p>
    <w:p w14:paraId="4AE79D52">
      <w:pPr>
        <w:pStyle w:val="11"/>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6.主题内容：大中型案例宜分节，并有节标题；</w:t>
      </w:r>
    </w:p>
    <w:p w14:paraId="72C227D2">
      <w:pPr>
        <w:pStyle w:val="11"/>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要求：陈述客观平实、不出现作者的评论分析，决策点突出，所述内容及相关数据具备完整性和一致性。</w:t>
      </w:r>
    </w:p>
    <w:p w14:paraId="156F9F76">
      <w:pPr>
        <w:pStyle w:val="11"/>
        <w:keepNext w:val="0"/>
        <w:keepLines w:val="0"/>
        <w:pageBreakBefore w:val="0"/>
        <w:widowControl w:val="0"/>
        <w:kinsoku/>
        <w:wordWrap/>
        <w:overflowPunct/>
        <w:topLinePunct w:val="0"/>
        <w:autoSpaceDE w:val="0"/>
        <w:autoSpaceDN w:val="0"/>
        <w:bidi w:val="0"/>
        <w:adjustRightInd w:val="0"/>
        <w:spacing w:before="0" w:after="0" w:line="360" w:lineRule="auto"/>
        <w:ind w:firstLine="602" w:firstLineChars="200"/>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7.结尾</w:t>
      </w:r>
    </w:p>
    <w:p w14:paraId="25132E93">
      <w:pPr>
        <w:pStyle w:val="11"/>
        <w:keepNext w:val="0"/>
        <w:keepLines w:val="0"/>
        <w:pageBreakBefore w:val="0"/>
        <w:widowControl w:val="0"/>
        <w:kinsoku/>
        <w:wordWrap/>
        <w:overflowPunct/>
        <w:topLinePunct w:val="0"/>
        <w:autoSpaceDE w:val="0"/>
        <w:autoSpaceDN w:val="0"/>
        <w:bidi w:val="0"/>
        <w:adjustRightInd w:val="0"/>
        <w:snapToGrid w:val="0"/>
        <w:spacing w:before="0" w:after="0" w:line="360" w:lineRule="auto"/>
        <w:ind w:firstLine="602" w:firstLineChars="200"/>
        <w:contextualSpacing/>
        <w:jc w:val="left"/>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8.脚注、图表、附录等</w:t>
      </w:r>
    </w:p>
    <w:p w14:paraId="62B57F20">
      <w:pPr>
        <w:pStyle w:val="8"/>
        <w:keepNext w:val="0"/>
        <w:keepLines w:val="0"/>
        <w:pageBreakBefore w:val="0"/>
        <w:kinsoku/>
        <w:wordWrap/>
        <w:overflowPunct/>
        <w:topLinePunct w:val="0"/>
        <w:bidi w:val="0"/>
        <w:adjustRightInd w:val="0"/>
        <w:snapToGrid w:val="0"/>
        <w:spacing w:line="360" w:lineRule="auto"/>
        <w:ind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（1）脚注以小号字附于有关内容同页的下端，以横线与正文断开；</w:t>
      </w:r>
    </w:p>
    <w:p w14:paraId="393C717F">
      <w:pPr>
        <w:pStyle w:val="8"/>
        <w:keepNext w:val="0"/>
        <w:keepLines w:val="0"/>
        <w:pageBreakBefore w:val="0"/>
        <w:kinsoku/>
        <w:wordWrap/>
        <w:overflowPunct/>
        <w:topLinePunct w:val="0"/>
        <w:bidi w:val="0"/>
        <w:adjustRightInd w:val="0"/>
        <w:spacing w:line="360" w:lineRule="auto"/>
        <w:ind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（2）图表要有标题（中英文），有编号；</w:t>
      </w:r>
    </w:p>
    <w:p w14:paraId="32DBCB13">
      <w:pPr>
        <w:pStyle w:val="8"/>
        <w:keepNext w:val="0"/>
        <w:keepLines w:val="0"/>
        <w:pageBreakBefore w:val="0"/>
        <w:kinsoku/>
        <w:wordWrap/>
        <w:overflowPunct/>
        <w:topLinePunct w:val="0"/>
        <w:bidi w:val="0"/>
        <w:adjustRightInd w:val="0"/>
        <w:spacing w:line="360" w:lineRule="auto"/>
        <w:ind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（3）附录，有助于理解正文的相关资料、数据可作为附录列出。</w:t>
      </w:r>
    </w:p>
    <w:p w14:paraId="0C20FD4D">
      <w:pPr>
        <w:pStyle w:val="8"/>
        <w:keepNext w:val="0"/>
        <w:keepLines w:val="0"/>
        <w:pageBreakBefore w:val="0"/>
        <w:kinsoku/>
        <w:wordWrap/>
        <w:overflowPunct/>
        <w:topLinePunct w:val="0"/>
        <w:bidi w:val="0"/>
        <w:adjustRightInd w:val="0"/>
        <w:spacing w:line="360" w:lineRule="auto"/>
        <w:ind w:firstLine="602" w:firstLineChars="200"/>
        <w:contextualSpacing/>
        <w:textAlignment w:val="auto"/>
        <w:rPr>
          <w:rFonts w:hint="eastAsia" w:ascii="宋体" w:hAnsi="宋体" w:eastAsia="宋体" w:cs="宋体"/>
          <w:b/>
          <w:color w:val="000000"/>
          <w:sz w:val="30"/>
          <w:szCs w:val="30"/>
          <w:lang w:eastAsia="zh-CN"/>
        </w:rPr>
      </w:pPr>
      <w:r>
        <w:rPr>
          <w:rFonts w:hint="eastAsia" w:ascii="宋体" w:hAnsi="宋体" w:eastAsia="宋体" w:cs="宋体"/>
          <w:b/>
          <w:color w:val="000000"/>
          <w:sz w:val="30"/>
          <w:szCs w:val="30"/>
          <w:lang w:eastAsia="zh-CN"/>
        </w:rPr>
        <w:t>9.与中文相对应的英文案例名称、作者姓名、工作单位、摘要、关键词。</w:t>
      </w:r>
    </w:p>
    <w:p w14:paraId="2D8702EF">
      <w:pPr>
        <w:pStyle w:val="8"/>
        <w:keepNext w:val="0"/>
        <w:keepLines w:val="0"/>
        <w:pageBreakBefore w:val="0"/>
        <w:kinsoku/>
        <w:wordWrap/>
        <w:overflowPunct/>
        <w:topLinePunct w:val="0"/>
        <w:bidi w:val="0"/>
        <w:adjustRightInd w:val="0"/>
        <w:spacing w:line="360" w:lineRule="auto"/>
        <w:ind w:firstLine="600" w:firstLineChars="200"/>
        <w:contextualSpacing/>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要求：英文摘要 150—200 个英文单词，英文题目和摘要符合科技英文书写规范。</w:t>
      </w:r>
    </w:p>
    <w:p w14:paraId="7F76D523">
      <w:pPr>
        <w:pStyle w:val="8"/>
        <w:keepNext w:val="0"/>
        <w:keepLines w:val="0"/>
        <w:pageBreakBefore w:val="0"/>
        <w:widowControl w:val="0"/>
        <w:numPr>
          <w:numId w:val="0"/>
        </w:numPr>
        <w:kinsoku/>
        <w:wordWrap/>
        <w:overflowPunct/>
        <w:topLinePunct w:val="0"/>
        <w:autoSpaceDE w:val="0"/>
        <w:autoSpaceDN w:val="0"/>
        <w:bidi w:val="0"/>
        <w:adjustRightInd w:val="0"/>
        <w:snapToGrid/>
        <w:spacing w:before="0" w:after="0"/>
        <w:ind w:firstLine="602" w:firstLineChars="200"/>
        <w:jc w:val="left"/>
        <w:textAlignment w:val="auto"/>
        <w:rPr>
          <w:rFonts w:hint="eastAsia" w:ascii="黑体" w:hAnsi="黑体" w:eastAsia="黑体" w:cs="黑体"/>
          <w:b/>
          <w:color w:val="000000"/>
          <w:sz w:val="30"/>
          <w:szCs w:val="30"/>
          <w:lang w:val="en-US" w:eastAsia="zh-CN"/>
        </w:rPr>
      </w:pPr>
      <w:r>
        <w:rPr>
          <w:rFonts w:hint="eastAsia" w:ascii="黑体" w:hAnsi="黑体" w:eastAsia="黑体" w:cs="黑体"/>
          <w:b/>
          <w:color w:val="000000"/>
          <w:sz w:val="30"/>
          <w:szCs w:val="30"/>
          <w:lang w:val="en-US" w:eastAsia="zh-CN"/>
        </w:rPr>
        <w:t>三、</w:t>
      </w:r>
      <w:bookmarkStart w:id="0" w:name="_GoBack"/>
      <w:bookmarkEnd w:id="0"/>
      <w:r>
        <w:rPr>
          <w:rFonts w:hint="eastAsia" w:ascii="黑体" w:hAnsi="黑体" w:eastAsia="黑体" w:cs="黑体"/>
          <w:b/>
          <w:color w:val="000000"/>
          <w:sz w:val="30"/>
          <w:szCs w:val="30"/>
          <w:lang w:val="en-US" w:eastAsia="zh-CN"/>
        </w:rPr>
        <w:t>教学笔记</w:t>
      </w:r>
      <w:r>
        <w:rPr>
          <w:rFonts w:hint="eastAsia" w:ascii="黑体" w:hAnsi="黑体" w:eastAsia="黑体" w:cs="黑体"/>
          <w:b/>
          <w:color w:val="000000"/>
          <w:sz w:val="30"/>
          <w:szCs w:val="30"/>
          <w:lang w:eastAsia="zh-CN"/>
        </w:rPr>
        <w:t>的基本结构及相关要求</w:t>
      </w:r>
    </w:p>
    <w:p w14:paraId="533AAFD4">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b w:val="0"/>
          <w:bCs/>
          <w:color w:val="000000"/>
          <w:sz w:val="30"/>
          <w:szCs w:val="30"/>
          <w:lang w:eastAsia="zh-CN"/>
        </w:rPr>
        <w:t>教学笔记的必要部分按序包括：标题、案例摘要、教学目标、教学对象与适用课程、思考题、教学计划、课堂问题讨论及分析、案例后续进展。</w:t>
      </w:r>
      <w:r>
        <w:rPr>
          <w:rFonts w:hint="eastAsia" w:ascii="宋体" w:hAnsi="宋体" w:eastAsia="宋体" w:cs="宋体"/>
          <w:b w:val="0"/>
          <w:bCs/>
          <w:color w:val="000000"/>
          <w:sz w:val="30"/>
          <w:szCs w:val="30"/>
          <w:lang w:eastAsia="zh-CN"/>
        </w:rPr>
        <w:t>可选结构有：推荐阅读材料、教学辅助材料、讨论总结、板书设计等。</w:t>
      </w:r>
    </w:p>
    <w:p w14:paraId="4706A685">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lang w:eastAsia="zh-CN"/>
        </w:rPr>
        <w:t>标题：案例正文标题加“教学笔记”字样，如特斯拉与中国教学笔记。</w:t>
      </w:r>
    </w:p>
    <w:p w14:paraId="02103FA5">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2.</w:t>
      </w:r>
      <w:r>
        <w:rPr>
          <w:rFonts w:hint="eastAsia" w:ascii="宋体" w:hAnsi="宋体" w:eastAsia="宋体" w:cs="宋体"/>
          <w:color w:val="000000"/>
          <w:sz w:val="30"/>
          <w:szCs w:val="30"/>
          <w:lang w:eastAsia="zh-CN"/>
        </w:rPr>
        <w:t>案例摘要：总结案例内容和特点，包括主要企业或机构名称、主要人物、案例事件发生时间、关键问题以及主要的教学点，建议中文案例的摘要不超过350 字，英文不超过 200 单词。</w:t>
      </w:r>
    </w:p>
    <w:p w14:paraId="39B8126D">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3.</w:t>
      </w:r>
      <w:r>
        <w:rPr>
          <w:rFonts w:hint="eastAsia" w:ascii="宋体" w:hAnsi="宋体" w:eastAsia="宋体" w:cs="宋体"/>
          <w:color w:val="000000"/>
          <w:sz w:val="30"/>
          <w:szCs w:val="30"/>
          <w:lang w:eastAsia="zh-CN"/>
        </w:rPr>
        <w:t>教学目标：设定明确而恰当的教学目标、计划达到的学习效果，以及学员在分析完案例后应掌握的知识点、具备的能力。教学目标以分析、理解、研究等动词开头，具体可参考布鲁姆教学目标分类。建议中文案例的教学目标不超过 350 字，英文不超过 200 单词。</w:t>
      </w:r>
    </w:p>
    <w:p w14:paraId="751CA0B1">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4.</w:t>
      </w:r>
      <w:r>
        <w:rPr>
          <w:rFonts w:hint="eastAsia" w:ascii="宋体" w:hAnsi="宋体" w:eastAsia="宋体" w:cs="宋体"/>
          <w:color w:val="000000"/>
          <w:sz w:val="30"/>
          <w:szCs w:val="30"/>
          <w:lang w:eastAsia="zh-CN"/>
        </w:rPr>
        <w:t>教学对象与适用课程：说明案例适用的教学对象，包括不同的学员群体，例如本科、MBA、EMBA、企业高层管理人员等。也需要说明适用课程及课程中的特定环节、学员事先需要掌握的概念或知识基础。</w:t>
      </w:r>
    </w:p>
    <w:p w14:paraId="554D5F84">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lang w:eastAsia="zh-CN"/>
        </w:rPr>
        <w:t>推荐阅读材料（可选）：需要学员预读的材料等（建议 3～5 篇）。</w:t>
      </w:r>
    </w:p>
    <w:p w14:paraId="4B398D59">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lang w:eastAsia="zh-CN"/>
        </w:rPr>
        <w:t>教学辅助材料（可选）：主要指课堂 PPT、学员练习题、行业分析、视频等。</w:t>
      </w:r>
    </w:p>
    <w:p w14:paraId="335F7EBB">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7.</w:t>
      </w:r>
      <w:r>
        <w:rPr>
          <w:rFonts w:hint="eastAsia" w:ascii="宋体" w:hAnsi="宋体" w:eastAsia="宋体" w:cs="宋体"/>
          <w:color w:val="000000"/>
          <w:sz w:val="30"/>
          <w:szCs w:val="30"/>
          <w:lang w:eastAsia="zh-CN"/>
        </w:rPr>
        <w:t>思考题：围绕教学目标，提出有针对性的、有逻辑的讨论问题，引导学员为案例讨论做好准备。一般而言，应该针对每个教学目标提出一个问题；额外的问题可以用于学员检验自己是否已经掌握了课堂案例讨论所需的关键知识。</w:t>
      </w:r>
    </w:p>
    <w:p w14:paraId="433CFBB3">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8.</w:t>
      </w:r>
      <w:r>
        <w:rPr>
          <w:rFonts w:hint="eastAsia" w:ascii="宋体" w:hAnsi="宋体" w:eastAsia="宋体" w:cs="宋体"/>
          <w:color w:val="000000"/>
          <w:sz w:val="30"/>
          <w:szCs w:val="30"/>
          <w:lang w:eastAsia="zh-CN"/>
        </w:rPr>
        <w:t>教学计划：对需要讨论的问题或主题组织的具体授课安排和时间分配。</w:t>
      </w:r>
    </w:p>
    <w:p w14:paraId="0FDC7B81">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lang w:eastAsia="zh-CN"/>
        </w:rPr>
        <w:t>课堂问题讨论与分析：针对每一个讨论问题，提供合适的分析方法、工具、概念、框架或理论等，引导学员通过归纳讨论的过程发现超出案例公司的、具备一定普遍意义的思维框架、洞察与启示。尽量展示案例课堂讨论的流程，以助案例教学者管理、引导、响应课堂讨论，从而激发学员参与案例讨论并达成教学目标。</w:t>
      </w:r>
    </w:p>
    <w:p w14:paraId="5FB081E3">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10.</w:t>
      </w:r>
      <w:r>
        <w:rPr>
          <w:rFonts w:hint="eastAsia" w:ascii="宋体" w:hAnsi="宋体" w:eastAsia="宋体" w:cs="宋体"/>
          <w:color w:val="000000"/>
          <w:sz w:val="30"/>
          <w:szCs w:val="30"/>
          <w:lang w:eastAsia="zh-CN"/>
        </w:rPr>
        <w:t>案例后续进展：对于案例企业的后续发展、所涉及的各方及决策进行简要的跟进。</w:t>
      </w:r>
    </w:p>
    <w:p w14:paraId="36D3C1FB">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11.</w:t>
      </w:r>
      <w:r>
        <w:rPr>
          <w:rFonts w:hint="eastAsia" w:ascii="宋体" w:hAnsi="宋体" w:eastAsia="宋体" w:cs="宋体"/>
          <w:color w:val="000000"/>
          <w:sz w:val="30"/>
          <w:szCs w:val="30"/>
          <w:lang w:eastAsia="zh-CN"/>
        </w:rPr>
        <w:t>讨论总结：总结案例讨论的关键要点。</w:t>
      </w:r>
    </w:p>
    <w:p w14:paraId="16C79601">
      <w:pPr>
        <w:pStyle w:val="8"/>
        <w:keepNext w:val="0"/>
        <w:keepLines w:val="0"/>
        <w:pageBreakBefore w:val="0"/>
        <w:widowControl w:val="0"/>
        <w:kinsoku/>
        <w:wordWrap/>
        <w:overflowPunct/>
        <w:topLinePunct w:val="0"/>
        <w:autoSpaceDE w:val="0"/>
        <w:autoSpaceDN w:val="0"/>
        <w:bidi w:val="0"/>
        <w:adjustRightInd w:val="0"/>
        <w:snapToGrid/>
        <w:spacing w:before="0" w:after="0" w:line="360" w:lineRule="auto"/>
        <w:ind w:firstLine="600" w:firstLineChars="200"/>
        <w:contextualSpacing/>
        <w:jc w:val="left"/>
        <w:textAlignment w:val="auto"/>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lang w:eastAsia="zh-CN"/>
        </w:rPr>
        <w:t>板书设计（可选）：说明在黑板上如何布局案例的主要讨论点，需要以图示形式展现每一部分的讨论或是整个课堂的讨论后完整的黑板布局。</w:t>
      </w:r>
    </w:p>
    <w:p w14:paraId="5848B4CD">
      <w:pPr>
        <w:pStyle w:val="8"/>
        <w:keepNext w:val="0"/>
        <w:keepLines w:val="0"/>
        <w:pageBreakBefore w:val="0"/>
        <w:widowControl w:val="0"/>
        <w:numPr>
          <w:numId w:val="0"/>
        </w:numPr>
        <w:kinsoku/>
        <w:wordWrap/>
        <w:overflowPunct/>
        <w:topLinePunct w:val="0"/>
        <w:autoSpaceDE w:val="0"/>
        <w:autoSpaceDN w:val="0"/>
        <w:bidi w:val="0"/>
        <w:adjustRightInd w:val="0"/>
        <w:snapToGrid/>
        <w:spacing w:before="0" w:after="0" w:line="360" w:lineRule="auto"/>
        <w:jc w:val="left"/>
        <w:textAlignment w:val="auto"/>
        <w:rPr>
          <w:rFonts w:hint="eastAsia" w:ascii="黑体" w:hAnsi="黑体" w:eastAsia="黑体" w:cs="黑体"/>
          <w:color w:val="000000"/>
          <w:sz w:val="32"/>
          <w:szCs w:val="32"/>
          <w:lang w:eastAsia="zh-CN"/>
        </w:rPr>
      </w:pPr>
    </w:p>
    <w:p w14:paraId="307C680A">
      <w:pPr>
        <w:pStyle w:val="9"/>
        <w:keepNext w:val="0"/>
        <w:keepLines w:val="0"/>
        <w:pageBreakBefore w:val="0"/>
        <w:widowControl w:val="0"/>
        <w:kinsoku/>
        <w:wordWrap/>
        <w:overflowPunct/>
        <w:topLinePunct w:val="0"/>
        <w:autoSpaceDE w:val="0"/>
        <w:autoSpaceDN w:val="0"/>
        <w:bidi w:val="0"/>
        <w:adjustRightInd w:val="0"/>
        <w:spacing w:before="0" w:after="0" w:line="281" w:lineRule="exact"/>
        <w:ind w:left="420" w:firstLine="0" w:firstLineChars="0"/>
        <w:jc w:val="left"/>
        <w:textAlignment w:val="auto"/>
        <w:rPr>
          <w:rFonts w:hint="eastAsia" w:ascii="宋体" w:hAnsi="宋体" w:eastAsia="宋体" w:cs="宋体"/>
          <w:b/>
          <w:color w:val="000000"/>
          <w:sz w:val="30"/>
          <w:szCs w:val="30"/>
          <w:lang w:eastAsia="zh-CN"/>
        </w:rPr>
      </w:pPr>
    </w:p>
    <w:p w14:paraId="0F340BD2">
      <w:pPr>
        <w:pStyle w:val="9"/>
        <w:keepNext w:val="0"/>
        <w:keepLines w:val="0"/>
        <w:pageBreakBefore w:val="0"/>
        <w:widowControl w:val="0"/>
        <w:kinsoku/>
        <w:wordWrap/>
        <w:overflowPunct/>
        <w:topLinePunct w:val="0"/>
        <w:autoSpaceDE w:val="0"/>
        <w:autoSpaceDN w:val="0"/>
        <w:bidi w:val="0"/>
        <w:adjustRightInd w:val="0"/>
        <w:spacing w:before="0" w:after="0"/>
        <w:ind w:left="420" w:firstLine="0" w:firstLineChars="0"/>
        <w:contextualSpacing/>
        <w:jc w:val="left"/>
        <w:textAlignment w:val="auto"/>
        <w:rPr>
          <w:rFonts w:hint="eastAsia" w:ascii="宋体" w:hAnsi="宋体" w:eastAsia="宋体" w:cs="宋体"/>
          <w:color w:val="000000"/>
          <w:sz w:val="30"/>
          <w:szCs w:val="30"/>
          <w:lang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WJBUWB+CIDFont+F1">
    <w:altName w:val="微软雅黑"/>
    <w:panose1 w:val="00000000000000000000"/>
    <w:charset w:val="01"/>
    <w:family w:val="auto"/>
    <w:pitch w:val="default"/>
    <w:sig w:usb0="00000000" w:usb1="0000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KCGEBQ+CIDFont+F4">
    <w:altName w:val="思源宋体 CN"/>
    <w:panose1 w:val="00000000000000000000"/>
    <w:charset w:val="01"/>
    <w:family w:val="modern"/>
    <w:pitch w:val="default"/>
    <w:sig w:usb0="00000000" w:usb1="00000000" w:usb2="00000016" w:usb3="00000000" w:csb0="00040001" w:csb1="00000000"/>
  </w:font>
  <w:font w:name="JDEHOJ+CIDFont+F4">
    <w:altName w:val="思源宋体 CN"/>
    <w:panose1 w:val="00000000000000000000"/>
    <w:charset w:val="01"/>
    <w:family w:val="modern"/>
    <w:pitch w:val="default"/>
    <w:sig w:usb0="00000000" w:usb1="00000000" w:usb2="00000016" w:usb3="00000000" w:csb0="00040001" w:csb1="00000000"/>
  </w:font>
  <w:font w:name="POGEAM+CIDFont+F4">
    <w:altName w:val="微软雅黑"/>
    <w:panose1 w:val="00000000000000000000"/>
    <w:charset w:val="01"/>
    <w:family w:val="modern"/>
    <w:pitch w:val="default"/>
    <w:sig w:usb0="00000000" w:usb1="00000000" w:usb2="00000016" w:usb3="00000000" w:csb0="00040001" w:csb1="00000000"/>
  </w:font>
  <w:font w:name="WLHRPH+CIDFont+F8">
    <w:altName w:val="微软雅黑"/>
    <w:panose1 w:val="00000000000000000000"/>
    <w:charset w:val="01"/>
    <w:family w:val="modern"/>
    <w:pitch w:val="default"/>
    <w:sig w:usb0="00000000" w:usb1="00000000" w:usb2="00000016" w:usb3="00000000" w:csb0="00040001" w:csb1="00000000"/>
  </w:font>
  <w:font w:name="BLKSDC+CIDFont+F7">
    <w:altName w:val="思源宋体 CN"/>
    <w:panose1 w:val="00000000000000000000"/>
    <w:charset w:val="01"/>
    <w:family w:val="swiss"/>
    <w:pitch w:val="default"/>
    <w:sig w:usb0="00000000" w:usb1="00000000" w:usb2="00000016" w:usb3="00000000" w:csb0="0004001F" w:csb1="00000000"/>
  </w:font>
  <w:font w:name="SGUEOA+CIDFont+F4">
    <w:altName w:val="微软雅黑"/>
    <w:panose1 w:val="00000000000000000000"/>
    <w:charset w:val="01"/>
    <w:family w:val="modern"/>
    <w:pitch w:val="default"/>
    <w:sig w:usb0="00000000" w:usb1="00000000" w:usb2="00000016" w:usb3="00000000" w:csb0="00040001" w:csb1="00000000"/>
  </w:font>
  <w:font w:name="WHGNUT+CIDFont+F8">
    <w:altName w:val="微软雅黑"/>
    <w:panose1 w:val="00000000000000000000"/>
    <w:charset w:val="01"/>
    <w:family w:val="modern"/>
    <w:pitch w:val="default"/>
    <w:sig w:usb0="00000000" w:usb1="00000000" w:usb2="00000016" w:usb3="00000000" w:csb0="00040001" w:csb1="00000000"/>
  </w:font>
  <w:font w:name="KATSUK+CIDFont+F1">
    <w:altName w:val="微软雅黑"/>
    <w:panose1 w:val="00000000000000000000"/>
    <w:charset w:val="01"/>
    <w:family w:val="auto"/>
    <w:pitch w:val="default"/>
    <w:sig w:usb0="00000000" w:usb1="00000000" w:usb2="00000006" w:usb3="00000000" w:csb0="00040001" w:csb1="00000000"/>
  </w:font>
  <w:font w:name="思源宋体 CN">
    <w:panose1 w:val="02020400000000000000"/>
    <w:charset w:val="86"/>
    <w:family w:val="auto"/>
    <w:pitch w:val="default"/>
    <w:sig w:usb0="20000083" w:usb1="2ADF3C10" w:usb2="00000016" w:usb3="00000000" w:csb0="60060107"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Bahnschrift SemiBold SemiCondensed">
    <w:panose1 w:val="020B0502040204020203"/>
    <w:charset w:val="00"/>
    <w:family w:val="auto"/>
    <w:pitch w:val="default"/>
    <w:sig w:usb0="A00002C7" w:usb1="00000002" w:usb2="00000000" w:usb3="00000000" w:csb0="2000019F" w:csb1="00000000"/>
  </w:font>
  <w:font w:name="汉仪叶叶相思体简">
    <w:panose1 w:val="02010509060101010101"/>
    <w:charset w:val="86"/>
    <w:family w:val="auto"/>
    <w:pitch w:val="default"/>
    <w:sig w:usb0="00000001" w:usb1="080E0000" w:usb2="00000000" w:usb3="00000000" w:csb0="00040000" w:csb1="00000000"/>
  </w:font>
  <w:font w:name="思源宋体 CN ExtraLight">
    <w:panose1 w:val="02020200000000000000"/>
    <w:charset w:val="86"/>
    <w:family w:val="auto"/>
    <w:pitch w:val="default"/>
    <w:sig w:usb0="20000083" w:usb1="2ADF3C10" w:usb2="00000016" w:usb3="00000000" w:csb0="60060107" w:csb1="00000000"/>
  </w:font>
  <w:font w:name="Candara Light">
    <w:panose1 w:val="020E0502030303020204"/>
    <w:charset w:val="00"/>
    <w:family w:val="auto"/>
    <w:pitch w:val="default"/>
    <w:sig w:usb0="A00002FF" w:usb1="00000002" w:usb2="00000000" w:usb3="00000000" w:csb0="0000019F" w:csb1="00000000"/>
  </w:font>
  <w:font w:name="Cambria Math">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Microsoft JhengHei UI">
    <w:panose1 w:val="020B0604030504040204"/>
    <w:charset w:val="88"/>
    <w:family w:val="auto"/>
    <w:pitch w:val="default"/>
    <w:sig w:usb0="000002A7" w:usb1="28CF4400" w:usb2="00000016" w:usb3="00000000" w:csb0="00100009" w:csb1="00000000"/>
  </w:font>
  <w:font w:name="等线 Light">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方正魏碑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DE53F">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98196">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443E3">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ind w:firstLine="480"/>
      </w:pPr>
      <w:r>
        <w:separator/>
      </w:r>
    </w:p>
  </w:footnote>
  <w:footnote w:type="continuationSeparator" w:id="1">
    <w:p>
      <w:pPr>
        <w:spacing w:line="48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E00BB">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F769A">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AAD6B">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AC5"/>
    <w:rsid w:val="0000257D"/>
    <w:rsid w:val="000A44E7"/>
    <w:rsid w:val="00210394"/>
    <w:rsid w:val="003313EF"/>
    <w:rsid w:val="00334951"/>
    <w:rsid w:val="004F6D72"/>
    <w:rsid w:val="005F021E"/>
    <w:rsid w:val="00614B11"/>
    <w:rsid w:val="00883AC5"/>
    <w:rsid w:val="009805B5"/>
    <w:rsid w:val="00C76A9D"/>
    <w:rsid w:val="00CC0865"/>
    <w:rsid w:val="00CD3EE3"/>
    <w:rsid w:val="00F2466D"/>
    <w:rsid w:val="00F708A6"/>
    <w:rsid w:val="69AD7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